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CE23" w14:textId="77777777" w:rsidR="006A0326" w:rsidRDefault="006A0326" w:rsidP="006A0326">
      <w:pPr>
        <w:jc w:val="center"/>
        <w:rPr>
          <w:b/>
          <w:bCs/>
        </w:rPr>
      </w:pPr>
      <w:r>
        <w:rPr>
          <w:b/>
          <w:bCs/>
        </w:rPr>
        <w:t>Mission parlementaire « politique publique de la donnée »</w:t>
      </w:r>
    </w:p>
    <w:p w14:paraId="6D4780A8" w14:textId="77777777" w:rsidR="00611157" w:rsidRDefault="00611157" w:rsidP="00070BA9">
      <w:pPr>
        <w:jc w:val="center"/>
        <w:rPr>
          <w:b/>
          <w:bCs/>
        </w:rPr>
      </w:pPr>
    </w:p>
    <w:p w14:paraId="697EE632" w14:textId="66030762" w:rsidR="00E52058" w:rsidRDefault="00104BE5" w:rsidP="00070BA9">
      <w:pPr>
        <w:jc w:val="center"/>
        <w:rPr>
          <w:b/>
          <w:bCs/>
        </w:rPr>
      </w:pPr>
      <w:r>
        <w:rPr>
          <w:b/>
          <w:bCs/>
        </w:rPr>
        <w:t>Trois</w:t>
      </w:r>
      <w:r w:rsidR="00C7573C">
        <w:rPr>
          <w:b/>
          <w:bCs/>
        </w:rPr>
        <w:t xml:space="preserve"> contributions distinctes à la mission</w:t>
      </w:r>
    </w:p>
    <w:p w14:paraId="1D3F272D" w14:textId="1ACEA465" w:rsidR="00104BE5" w:rsidRDefault="00104BE5" w:rsidP="00070BA9">
      <w:pPr>
        <w:jc w:val="center"/>
        <w:rPr>
          <w:b/>
          <w:bCs/>
        </w:rPr>
      </w:pPr>
    </w:p>
    <w:p w14:paraId="04856F44" w14:textId="6C24770B" w:rsidR="00104BE5" w:rsidRDefault="00104BE5" w:rsidP="00070BA9">
      <w:pPr>
        <w:jc w:val="center"/>
        <w:rPr>
          <w:b/>
          <w:bCs/>
        </w:rPr>
      </w:pPr>
      <w:r>
        <w:rPr>
          <w:b/>
          <w:bCs/>
        </w:rPr>
        <w:t>Jacques Priol - CIVITEO</w:t>
      </w:r>
    </w:p>
    <w:p w14:paraId="26DE58FF" w14:textId="433B1477" w:rsidR="00C7573C" w:rsidRDefault="00C7573C" w:rsidP="00070BA9">
      <w:pPr>
        <w:jc w:val="center"/>
        <w:rPr>
          <w:b/>
          <w:bCs/>
        </w:rPr>
      </w:pPr>
    </w:p>
    <w:p w14:paraId="4C8CFA90" w14:textId="77777777" w:rsidR="00C7573C" w:rsidRPr="000D3D7A" w:rsidRDefault="00C7573C" w:rsidP="00070BA9">
      <w:pPr>
        <w:jc w:val="center"/>
        <w:rPr>
          <w:b/>
          <w:bCs/>
        </w:rPr>
      </w:pPr>
    </w:p>
    <w:p w14:paraId="44520DF1" w14:textId="77777777" w:rsidR="000D3D7A" w:rsidRDefault="000D3D7A" w:rsidP="000D3D7A">
      <w:pPr>
        <w:jc w:val="both"/>
      </w:pPr>
    </w:p>
    <w:p w14:paraId="1AEDA11B" w14:textId="77777777" w:rsidR="000D3D7A" w:rsidRDefault="000D3D7A" w:rsidP="000D3D7A">
      <w:pPr>
        <w:jc w:val="both"/>
      </w:pPr>
    </w:p>
    <w:p w14:paraId="01B3A6DB" w14:textId="007A41A3" w:rsidR="000D3D7A" w:rsidRDefault="00C7573C" w:rsidP="00104BE5">
      <w:pPr>
        <w:shd w:val="clear" w:color="auto" w:fill="E7E6E6" w:themeFill="background2"/>
        <w:jc w:val="both"/>
      </w:pPr>
      <w:r w:rsidRPr="00C7573C">
        <w:rPr>
          <w:b/>
          <w:bCs/>
        </w:rPr>
        <w:t>Contribution</w:t>
      </w:r>
      <w:r w:rsidR="00491997" w:rsidRPr="00C7573C">
        <w:rPr>
          <w:b/>
          <w:bCs/>
        </w:rPr>
        <w:t xml:space="preserve"> n°</w:t>
      </w:r>
      <w:r w:rsidR="000D3D7A" w:rsidRPr="00C7573C">
        <w:rPr>
          <w:b/>
          <w:bCs/>
        </w:rPr>
        <w:t xml:space="preserve">1 – </w:t>
      </w:r>
      <w:r w:rsidRPr="00C7573C">
        <w:rPr>
          <w:b/>
          <w:bCs/>
        </w:rPr>
        <w:t>É</w:t>
      </w:r>
      <w:r w:rsidR="000D3D7A" w:rsidRPr="00C7573C">
        <w:rPr>
          <w:b/>
          <w:bCs/>
        </w:rPr>
        <w:t>largir la liste des domaines pour lesquels le législateur impose l’ouverture et le format</w:t>
      </w:r>
      <w:r w:rsidR="00FD36D6">
        <w:rPr>
          <w:b/>
          <w:bCs/>
        </w:rPr>
        <w:t xml:space="preserve"> des données</w:t>
      </w:r>
    </w:p>
    <w:p w14:paraId="233B62E7" w14:textId="77777777" w:rsidR="00D96DF5" w:rsidRDefault="00D96DF5" w:rsidP="000D3D7A">
      <w:pPr>
        <w:jc w:val="both"/>
      </w:pPr>
    </w:p>
    <w:p w14:paraId="51171D87" w14:textId="7D2452E2" w:rsidR="00C7573C" w:rsidRDefault="00653A64" w:rsidP="00C7573C">
      <w:pPr>
        <w:jc w:val="both"/>
      </w:pPr>
      <w:r>
        <w:t>Au-delà du principe de « l’ouverture par défaut », c</w:t>
      </w:r>
      <w:r w:rsidR="00C7573C">
        <w:t>ertains jeux de données doivent être ouverts par les administrations et les collectivités territoriales d’après des formats prévus par arrêté</w:t>
      </w:r>
      <w:r>
        <w:t xml:space="preserve"> (</w:t>
      </w:r>
      <w:r w:rsidR="00FD36D6">
        <w:t>les</w:t>
      </w:r>
      <w:r w:rsidR="00C7573C">
        <w:t xml:space="preserve"> données essentielles de la commande publique, les données des subventions</w:t>
      </w:r>
      <w:r>
        <w:t>,</w:t>
      </w:r>
      <w:r w:rsidR="00C7573C">
        <w:t xml:space="preserve"> </w:t>
      </w:r>
      <w:r>
        <w:t>certaines</w:t>
      </w:r>
      <w:r w:rsidR="00C7573C">
        <w:t xml:space="preserve"> données de mobilité</w:t>
      </w:r>
      <w:r>
        <w:t>..</w:t>
      </w:r>
      <w:r w:rsidR="00C7573C">
        <w:t>.</w:t>
      </w:r>
      <w:r>
        <w:t>)</w:t>
      </w:r>
      <w:r w:rsidR="00EC4424">
        <w:t xml:space="preserve">. </w:t>
      </w:r>
    </w:p>
    <w:p w14:paraId="7BE4DC4E" w14:textId="15E496FF" w:rsidR="00C7573C" w:rsidRDefault="00C7573C" w:rsidP="00C7573C">
      <w:pPr>
        <w:jc w:val="both"/>
      </w:pPr>
    </w:p>
    <w:p w14:paraId="7D817572" w14:textId="45D41149" w:rsidR="00C7573C" w:rsidRPr="007C1DBF" w:rsidRDefault="00C7573C" w:rsidP="00C7573C">
      <w:pPr>
        <w:jc w:val="both"/>
        <w:rPr>
          <w:b/>
          <w:bCs/>
        </w:rPr>
      </w:pPr>
      <w:r w:rsidRPr="007C1DBF">
        <w:rPr>
          <w:b/>
          <w:bCs/>
          <w:u w:val="single"/>
        </w:rPr>
        <w:t xml:space="preserve">Trois </w:t>
      </w:r>
      <w:r w:rsidR="00EC4424" w:rsidRPr="007C1DBF">
        <w:rPr>
          <w:b/>
          <w:bCs/>
          <w:u w:val="single"/>
        </w:rPr>
        <w:t>pistes de réflexion</w:t>
      </w:r>
      <w:r w:rsidRPr="007C1DBF">
        <w:rPr>
          <w:b/>
          <w:bCs/>
          <w:u w:val="single"/>
        </w:rPr>
        <w:t xml:space="preserve"> concrètes</w:t>
      </w:r>
      <w:r w:rsidRPr="007C1DBF">
        <w:rPr>
          <w:b/>
          <w:bCs/>
        </w:rPr>
        <w:t> :</w:t>
      </w:r>
    </w:p>
    <w:p w14:paraId="3B0FAAB9" w14:textId="63154084" w:rsidR="00C7573C" w:rsidRDefault="00C7573C" w:rsidP="00C7573C">
      <w:pPr>
        <w:jc w:val="both"/>
      </w:pPr>
    </w:p>
    <w:p w14:paraId="4158E277" w14:textId="5C84AA9A" w:rsidR="00C7573C" w:rsidRDefault="00653A64" w:rsidP="00C7573C">
      <w:pPr>
        <w:pStyle w:val="Paragraphedeliste"/>
        <w:numPr>
          <w:ilvl w:val="0"/>
          <w:numId w:val="8"/>
        </w:numPr>
        <w:jc w:val="both"/>
      </w:pPr>
      <w:r>
        <w:rPr>
          <w:b/>
          <w:bCs/>
        </w:rPr>
        <w:t>Compléter la liste des</w:t>
      </w:r>
      <w:r w:rsidR="00C7573C" w:rsidRPr="00C7573C">
        <w:rPr>
          <w:b/>
          <w:bCs/>
        </w:rPr>
        <w:t xml:space="preserve"> données </w:t>
      </w:r>
      <w:r>
        <w:rPr>
          <w:b/>
          <w:bCs/>
        </w:rPr>
        <w:t xml:space="preserve">à ouvrir impérativement </w:t>
      </w:r>
      <w:r>
        <w:t xml:space="preserve">suivant </w:t>
      </w:r>
      <w:r w:rsidR="00C7573C">
        <w:t xml:space="preserve">des formats définis par </w:t>
      </w:r>
      <w:r>
        <w:t>arrêté, par exemple au nom de la transparence démocratique des données issues du « socle commun des données locales » telles que les données budgétaires ou encore les registres des délibérations assortis de mots clefs.</w:t>
      </w:r>
    </w:p>
    <w:p w14:paraId="685AF784" w14:textId="545431E8" w:rsidR="00C7573C" w:rsidRDefault="00EC4424" w:rsidP="00C7573C">
      <w:pPr>
        <w:pStyle w:val="Paragraphedeliste"/>
        <w:numPr>
          <w:ilvl w:val="0"/>
          <w:numId w:val="8"/>
        </w:numPr>
        <w:jc w:val="both"/>
      </w:pPr>
      <w:r>
        <w:rPr>
          <w:b/>
          <w:bCs/>
        </w:rPr>
        <w:t xml:space="preserve">Assortir ces obligations de possibles </w:t>
      </w:r>
      <w:r w:rsidR="00C7573C" w:rsidRPr="00C7573C">
        <w:rPr>
          <w:b/>
          <w:bCs/>
        </w:rPr>
        <w:t xml:space="preserve">sanctions </w:t>
      </w:r>
      <w:r w:rsidRPr="00EC4424">
        <w:t>en opérant un</w:t>
      </w:r>
      <w:r w:rsidR="00C7573C">
        <w:t xml:space="preserve"> contrôle de légalité </w:t>
      </w:r>
      <w:r>
        <w:t>de l’ouverture de ces données publiques.</w:t>
      </w:r>
    </w:p>
    <w:p w14:paraId="2AFCE8CB" w14:textId="2F509B14" w:rsidR="00C7573C" w:rsidRDefault="00EC4424" w:rsidP="00C7573C">
      <w:pPr>
        <w:pStyle w:val="Paragraphedeliste"/>
        <w:numPr>
          <w:ilvl w:val="0"/>
          <w:numId w:val="8"/>
        </w:numPr>
        <w:jc w:val="both"/>
      </w:pPr>
      <w:r>
        <w:rPr>
          <w:b/>
          <w:bCs/>
        </w:rPr>
        <w:t>Faire peser ces contraintes</w:t>
      </w:r>
      <w:r w:rsidR="00C7573C" w:rsidRPr="00C7573C">
        <w:rPr>
          <w:b/>
          <w:bCs/>
        </w:rPr>
        <w:t xml:space="preserve"> sur l’ensemble de la chaîne de production de la donnée</w:t>
      </w:r>
      <w:r w:rsidR="00C7573C">
        <w:t xml:space="preserve"> (et pas seulement sur les administrations et les collectivités territoriales). A cet égard, il est nécessaire d’imposer aux éditeurs de logiciels et aux opérateurs de services publics de </w:t>
      </w:r>
      <w:r>
        <w:t>permettre l’accès des</w:t>
      </w:r>
      <w:r w:rsidR="00C7573C">
        <w:t xml:space="preserve"> collectivités territoriales </w:t>
      </w:r>
      <w:r>
        <w:t xml:space="preserve">aux données </w:t>
      </w:r>
      <w:r w:rsidR="00C7573C">
        <w:t xml:space="preserve">dans </w:t>
      </w:r>
      <w:r>
        <w:t>l</w:t>
      </w:r>
      <w:r w:rsidR="00C7573C">
        <w:t>es formats ouverts réglementaires.</w:t>
      </w:r>
    </w:p>
    <w:p w14:paraId="2B30AC6E" w14:textId="77777777" w:rsidR="00C7573C" w:rsidRDefault="00C7573C" w:rsidP="00C7573C">
      <w:pPr>
        <w:jc w:val="both"/>
      </w:pPr>
    </w:p>
    <w:p w14:paraId="0D9EB181" w14:textId="77777777" w:rsidR="00D96DF5" w:rsidRDefault="00D96DF5" w:rsidP="009B23F1">
      <w:pPr>
        <w:pStyle w:val="Paragraphedeliste"/>
        <w:ind w:left="1440"/>
        <w:jc w:val="both"/>
      </w:pPr>
    </w:p>
    <w:p w14:paraId="20092D10" w14:textId="5993B07F" w:rsidR="000D3D7A" w:rsidRPr="00D96DF5" w:rsidRDefault="00C7573C" w:rsidP="00104BE5">
      <w:pPr>
        <w:shd w:val="clear" w:color="auto" w:fill="E7E6E6" w:themeFill="background2"/>
        <w:jc w:val="both"/>
        <w:rPr>
          <w:b/>
          <w:bCs/>
        </w:rPr>
      </w:pPr>
      <w:r w:rsidRPr="00C7573C">
        <w:rPr>
          <w:b/>
          <w:bCs/>
        </w:rPr>
        <w:t>Contribution</w:t>
      </w:r>
      <w:r w:rsidR="00D96DF5" w:rsidRPr="00C7573C">
        <w:rPr>
          <w:b/>
          <w:bCs/>
        </w:rPr>
        <w:t xml:space="preserve"> n°</w:t>
      </w:r>
      <w:r w:rsidR="009B23F1" w:rsidRPr="00C7573C">
        <w:rPr>
          <w:b/>
          <w:bCs/>
        </w:rPr>
        <w:t xml:space="preserve"> 2 – </w:t>
      </w:r>
      <w:r>
        <w:rPr>
          <w:b/>
          <w:bCs/>
        </w:rPr>
        <w:t>F</w:t>
      </w:r>
      <w:r w:rsidR="009B23F1" w:rsidRPr="00C7573C">
        <w:rPr>
          <w:b/>
          <w:bCs/>
        </w:rPr>
        <w:t>avoriser la mutualisation</w:t>
      </w:r>
      <w:r w:rsidR="009B23F1" w:rsidRPr="00D96DF5">
        <w:rPr>
          <w:b/>
          <w:bCs/>
        </w:rPr>
        <w:t xml:space="preserve"> </w:t>
      </w:r>
      <w:r w:rsidR="00717025">
        <w:rPr>
          <w:b/>
          <w:bCs/>
        </w:rPr>
        <w:t>territoriale de l’open data</w:t>
      </w:r>
    </w:p>
    <w:p w14:paraId="1E838FAE" w14:textId="77777777" w:rsidR="00D96DF5" w:rsidRDefault="00D96DF5" w:rsidP="009B23F1">
      <w:pPr>
        <w:jc w:val="both"/>
      </w:pPr>
    </w:p>
    <w:p w14:paraId="19B546E5" w14:textId="2BB0E5E1" w:rsidR="00C7573C" w:rsidRDefault="00C7573C" w:rsidP="00717025">
      <w:pPr>
        <w:jc w:val="both"/>
      </w:pPr>
      <w:r>
        <w:t xml:space="preserve">Des collectivités territoriales se fédèrent pour publier leurs données sur des portails communs. Souvent des </w:t>
      </w:r>
      <w:r w:rsidR="00717025">
        <w:t>EPCI, mais aussi des Départements ou des Régions</w:t>
      </w:r>
      <w:r>
        <w:t xml:space="preserve"> </w:t>
      </w:r>
      <w:r w:rsidR="00717025">
        <w:t>proposent aux communes de mutualiser l’</w:t>
      </w:r>
      <w:r>
        <w:t xml:space="preserve">ingénierie et une solution de publication. </w:t>
      </w:r>
      <w:r w:rsidR="00717025">
        <w:t>Ces dynamiques sont très vertueuses et contribuent fortement à l’ouverture des données publiques locales. Il convient de les encourager.</w:t>
      </w:r>
    </w:p>
    <w:p w14:paraId="259753EB" w14:textId="77777777" w:rsidR="00C7573C" w:rsidRDefault="00C7573C" w:rsidP="009B23F1">
      <w:pPr>
        <w:jc w:val="both"/>
      </w:pPr>
    </w:p>
    <w:p w14:paraId="2F8EBD59" w14:textId="1656676E" w:rsidR="009B23F1" w:rsidRDefault="007C1DBF" w:rsidP="007C1DBF">
      <w:pPr>
        <w:jc w:val="both"/>
      </w:pPr>
      <w:r w:rsidRPr="007C1DBF">
        <w:rPr>
          <w:b/>
          <w:bCs/>
          <w:u w:val="single"/>
        </w:rPr>
        <w:t>Une</w:t>
      </w:r>
      <w:r w:rsidR="00C7573C" w:rsidRPr="007C1DBF">
        <w:rPr>
          <w:b/>
          <w:bCs/>
          <w:u w:val="single"/>
        </w:rPr>
        <w:t xml:space="preserve"> proposition concrète </w:t>
      </w:r>
      <w:r w:rsidR="00C7573C" w:rsidRPr="007C1DBF">
        <w:rPr>
          <w:b/>
          <w:bCs/>
        </w:rPr>
        <w:t>:</w:t>
      </w:r>
      <w:r>
        <w:t xml:space="preserve"> </w:t>
      </w:r>
      <w:r>
        <w:rPr>
          <w:b/>
          <w:bCs/>
        </w:rPr>
        <w:t>p</w:t>
      </w:r>
      <w:r w:rsidR="00C7573C" w:rsidRPr="00C7573C">
        <w:rPr>
          <w:b/>
          <w:bCs/>
        </w:rPr>
        <w:t>roposer aux collectivités territoriales des financements</w:t>
      </w:r>
      <w:r w:rsidR="00C7573C">
        <w:t>, par</w:t>
      </w:r>
      <w:r w:rsidR="009B23F1">
        <w:t xml:space="preserve"> exemple dans le cadre des CPER adossés à la future stratégie européenne de la donnée</w:t>
      </w:r>
      <w:r w:rsidR="00C7573C">
        <w:t xml:space="preserve">, pour favoriser </w:t>
      </w:r>
      <w:r w:rsidR="009B23F1">
        <w:t xml:space="preserve">la création de hub de données territoriaux </w:t>
      </w:r>
      <w:r w:rsidR="00717025">
        <w:t xml:space="preserve">(éventuellement </w:t>
      </w:r>
      <w:r w:rsidR="009B23F1">
        <w:t>thématiques</w:t>
      </w:r>
      <w:r w:rsidR="00717025">
        <w:t>)</w:t>
      </w:r>
      <w:r w:rsidR="00C7573C">
        <w:t>.</w:t>
      </w:r>
    </w:p>
    <w:p w14:paraId="613B324F" w14:textId="77777777" w:rsidR="007C1DBF" w:rsidRDefault="007C1DBF" w:rsidP="007C1DBF">
      <w:pPr>
        <w:jc w:val="both"/>
        <w:rPr>
          <w:b/>
          <w:bCs/>
        </w:rPr>
      </w:pPr>
    </w:p>
    <w:p w14:paraId="38C95257" w14:textId="45837968" w:rsidR="00C7573C" w:rsidRDefault="007C1DBF" w:rsidP="007C1DBF">
      <w:pPr>
        <w:jc w:val="both"/>
      </w:pPr>
      <w:r>
        <w:rPr>
          <w:b/>
          <w:bCs/>
        </w:rPr>
        <w:t>Une alerte : surtout n</w:t>
      </w:r>
      <w:r w:rsidR="00C7573C" w:rsidRPr="007C1DBF">
        <w:rPr>
          <w:b/>
          <w:bCs/>
        </w:rPr>
        <w:t xml:space="preserve">e pas créer une compétence nouvelle sur la </w:t>
      </w:r>
      <w:r w:rsidR="00FD36D6" w:rsidRPr="007C1DBF">
        <w:rPr>
          <w:b/>
          <w:bCs/>
        </w:rPr>
        <w:t>donnée</w:t>
      </w:r>
      <w:r w:rsidR="00C7573C">
        <w:t>. Le débat existe et certaines associations de collectivités territoriales revendiquent</w:t>
      </w:r>
      <w:r>
        <w:t xml:space="preserve"> déjà</w:t>
      </w:r>
      <w:r w:rsidR="00C7573C">
        <w:t xml:space="preserve"> la « compétence data ». Il est trop tôt pour qu’une décision soit prise en la matière. Pire, cette décision risquerait de </w:t>
      </w:r>
      <w:r w:rsidR="00C7573C">
        <w:lastRenderedPageBreak/>
        <w:t xml:space="preserve">casser des dynamiques connues dans toutes les strates de collectivités territoriales. Par ailleurs, il n’apparaît pas qu’un échelon soit plus légitime </w:t>
      </w:r>
      <w:r w:rsidR="008A68A9">
        <w:t>qu’</w:t>
      </w:r>
      <w:r w:rsidR="00C7573C">
        <w:t>un autre pour assurer cette compétence</w:t>
      </w:r>
      <w:r>
        <w:t>.</w:t>
      </w:r>
    </w:p>
    <w:p w14:paraId="6273A472" w14:textId="77777777" w:rsidR="00D96DF5" w:rsidRDefault="00D96DF5" w:rsidP="00D96DF5">
      <w:pPr>
        <w:pStyle w:val="Paragraphedeliste"/>
        <w:jc w:val="both"/>
      </w:pPr>
    </w:p>
    <w:p w14:paraId="11E14E28" w14:textId="3F7C8BDD" w:rsidR="009B23F1" w:rsidRPr="00C7573C" w:rsidRDefault="00C7573C" w:rsidP="00104BE5">
      <w:pPr>
        <w:shd w:val="clear" w:color="auto" w:fill="E7E6E6" w:themeFill="background2"/>
        <w:jc w:val="both"/>
        <w:rPr>
          <w:b/>
          <w:bCs/>
        </w:rPr>
      </w:pPr>
      <w:r w:rsidRPr="00C7573C">
        <w:rPr>
          <w:b/>
          <w:bCs/>
        </w:rPr>
        <w:t>Contribution n°3</w:t>
      </w:r>
      <w:r w:rsidR="009B23F1" w:rsidRPr="00C7573C">
        <w:rPr>
          <w:b/>
          <w:bCs/>
        </w:rPr>
        <w:t> </w:t>
      </w:r>
      <w:r>
        <w:rPr>
          <w:b/>
          <w:bCs/>
        </w:rPr>
        <w:t>– C</w:t>
      </w:r>
      <w:r w:rsidR="009B23F1" w:rsidRPr="00C7573C">
        <w:rPr>
          <w:b/>
          <w:bCs/>
        </w:rPr>
        <w:t>onsolider le cadre juridique existant et sécuriser le régime de propriété des données comme « biens publics »</w:t>
      </w:r>
    </w:p>
    <w:p w14:paraId="573EF10F" w14:textId="24B2BC2B" w:rsidR="00D96DF5" w:rsidRDefault="00D96DF5" w:rsidP="009B23F1">
      <w:pPr>
        <w:jc w:val="both"/>
      </w:pPr>
    </w:p>
    <w:p w14:paraId="69106D9C" w14:textId="158102A0" w:rsidR="00E47EBB" w:rsidRDefault="00E47EBB" w:rsidP="009B23F1">
      <w:pPr>
        <w:jc w:val="both"/>
      </w:pPr>
      <w:r>
        <w:t xml:space="preserve">Les entreprises qui travaillent avec les collectivités territoriales ont des obligations de </w:t>
      </w:r>
      <w:r w:rsidR="007C1DBF">
        <w:t>transmission</w:t>
      </w:r>
      <w:r>
        <w:t xml:space="preserve"> des données prévues par la loi </w:t>
      </w:r>
      <w:r w:rsidR="007C1DBF">
        <w:t>et parfois</w:t>
      </w:r>
      <w:r>
        <w:t xml:space="preserve"> directement intégrées dans le</w:t>
      </w:r>
      <w:r w:rsidR="00CC2FA7">
        <w:t>ur</w:t>
      </w:r>
      <w:r>
        <w:t>s contrats</w:t>
      </w:r>
      <w:r w:rsidR="00CC2FA7">
        <w:t xml:space="preserve"> d’exécution d’un marché ou d’une délégation de service public</w:t>
      </w:r>
      <w:r>
        <w:t xml:space="preserve">. </w:t>
      </w:r>
      <w:r w:rsidR="007C1DBF">
        <w:t>Bien souvent ces obligations ne sont pas respectées au motif de prétextes multiples : au nom du secret des affaires (alors qu’un conc</w:t>
      </w:r>
      <w:r w:rsidR="00CC2FA7">
        <w:t xml:space="preserve">essionnaire ne peut pas se prévaloir de ce secret vis-à-vis d’une autorité concédante), au nom d’obstacles techniques (et parfois d’une propriété intellectuelle déloyalement installée), au prétexte d’un coût de production des données…  Or l’essentiel de ces données ont un caractère public. Elles sont un « bien commun » car produites </w:t>
      </w:r>
      <w:r w:rsidR="002715DC">
        <w:t>pour le compte et dans le cadre d’une mission de service public.</w:t>
      </w:r>
    </w:p>
    <w:p w14:paraId="4E76FE62" w14:textId="77777777" w:rsidR="00E47EBB" w:rsidRDefault="00E47EBB" w:rsidP="009B23F1">
      <w:pPr>
        <w:jc w:val="both"/>
      </w:pPr>
    </w:p>
    <w:p w14:paraId="547BB8B7" w14:textId="05229AC3" w:rsidR="00D96DF5" w:rsidRDefault="00E47EBB" w:rsidP="009B23F1">
      <w:pPr>
        <w:jc w:val="both"/>
      </w:pPr>
      <w:r w:rsidRPr="002715DC">
        <w:rPr>
          <w:b/>
          <w:bCs/>
          <w:u w:val="single"/>
        </w:rPr>
        <w:t>Une proposition concrète</w:t>
      </w:r>
      <w:r w:rsidRPr="002715DC">
        <w:rPr>
          <w:b/>
          <w:bCs/>
        </w:rPr>
        <w:t> :</w:t>
      </w:r>
      <w:r>
        <w:t xml:space="preserve"> consolider le cadre juridique existant </w:t>
      </w:r>
      <w:r w:rsidR="002715DC">
        <w:t>pour sécuriser le régime de propriété de ces données comme « bien public »</w:t>
      </w:r>
    </w:p>
    <w:p w14:paraId="0B800DC8" w14:textId="77777777" w:rsidR="009B23F1" w:rsidRDefault="009B23F1" w:rsidP="009B23F1">
      <w:pPr>
        <w:jc w:val="both"/>
        <w:rPr>
          <w:b/>
          <w:bCs/>
        </w:rPr>
      </w:pPr>
    </w:p>
    <w:sectPr w:rsidR="009B23F1" w:rsidSect="00890E65">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052B" w14:textId="77777777" w:rsidR="00FA266F" w:rsidRDefault="00FA266F" w:rsidP="000C2B9A">
      <w:r>
        <w:separator/>
      </w:r>
    </w:p>
  </w:endnote>
  <w:endnote w:type="continuationSeparator" w:id="0">
    <w:p w14:paraId="4B387C1E" w14:textId="77777777" w:rsidR="00FA266F" w:rsidRDefault="00FA266F" w:rsidP="000C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045152"/>
      <w:docPartObj>
        <w:docPartGallery w:val="Page Numbers (Bottom of Page)"/>
        <w:docPartUnique/>
      </w:docPartObj>
    </w:sdtPr>
    <w:sdtEndPr/>
    <w:sdtContent>
      <w:p w14:paraId="58A0A20C" w14:textId="2C2DA360" w:rsidR="000C2B9A" w:rsidRDefault="000C2B9A">
        <w:pPr>
          <w:pStyle w:val="Pieddepage"/>
          <w:jc w:val="right"/>
        </w:pPr>
        <w:r>
          <w:fldChar w:fldCharType="begin"/>
        </w:r>
        <w:r>
          <w:instrText>PAGE   \* MERGEFORMAT</w:instrText>
        </w:r>
        <w:r>
          <w:fldChar w:fldCharType="separate"/>
        </w:r>
        <w:r>
          <w:t>2</w:t>
        </w:r>
        <w:r>
          <w:fldChar w:fldCharType="end"/>
        </w:r>
      </w:p>
    </w:sdtContent>
  </w:sdt>
  <w:p w14:paraId="414E2027" w14:textId="77777777" w:rsidR="000C2B9A" w:rsidRDefault="000C2B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0037" w14:textId="77777777" w:rsidR="00FA266F" w:rsidRDefault="00FA266F" w:rsidP="000C2B9A">
      <w:r>
        <w:separator/>
      </w:r>
    </w:p>
  </w:footnote>
  <w:footnote w:type="continuationSeparator" w:id="0">
    <w:p w14:paraId="7712F7D7" w14:textId="77777777" w:rsidR="00FA266F" w:rsidRDefault="00FA266F" w:rsidP="000C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0D5E"/>
    <w:multiLevelType w:val="hybridMultilevel"/>
    <w:tmpl w:val="D88E4654"/>
    <w:lvl w:ilvl="0" w:tplc="208E4DBE">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9A26EC7"/>
    <w:multiLevelType w:val="hybridMultilevel"/>
    <w:tmpl w:val="2730C1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82B27"/>
    <w:multiLevelType w:val="hybridMultilevel"/>
    <w:tmpl w:val="BC8E2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62758"/>
    <w:multiLevelType w:val="hybridMultilevel"/>
    <w:tmpl w:val="6B309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001136"/>
    <w:multiLevelType w:val="hybridMultilevel"/>
    <w:tmpl w:val="DC88D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072B2F"/>
    <w:multiLevelType w:val="hybridMultilevel"/>
    <w:tmpl w:val="F104E5EC"/>
    <w:lvl w:ilvl="0" w:tplc="423EC81C">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AE2EDC"/>
    <w:multiLevelType w:val="hybridMultilevel"/>
    <w:tmpl w:val="E79A87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44D4AA5"/>
    <w:multiLevelType w:val="hybridMultilevel"/>
    <w:tmpl w:val="A9BE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7471C"/>
    <w:multiLevelType w:val="hybridMultilevel"/>
    <w:tmpl w:val="6532B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5736EE"/>
    <w:multiLevelType w:val="hybridMultilevel"/>
    <w:tmpl w:val="3F843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22"/>
    <w:rsid w:val="00070BA9"/>
    <w:rsid w:val="000C2B9A"/>
    <w:rsid w:val="000D3D7A"/>
    <w:rsid w:val="00104BE5"/>
    <w:rsid w:val="001B1322"/>
    <w:rsid w:val="001C4C57"/>
    <w:rsid w:val="002715DC"/>
    <w:rsid w:val="00491997"/>
    <w:rsid w:val="004E4D72"/>
    <w:rsid w:val="0052545C"/>
    <w:rsid w:val="00611157"/>
    <w:rsid w:val="00633B9E"/>
    <w:rsid w:val="00653A64"/>
    <w:rsid w:val="00690ED1"/>
    <w:rsid w:val="006A0326"/>
    <w:rsid w:val="006F29E3"/>
    <w:rsid w:val="00717025"/>
    <w:rsid w:val="007C1DBF"/>
    <w:rsid w:val="00852E05"/>
    <w:rsid w:val="00890E65"/>
    <w:rsid w:val="008A68A9"/>
    <w:rsid w:val="009258DD"/>
    <w:rsid w:val="0096166C"/>
    <w:rsid w:val="00963D7E"/>
    <w:rsid w:val="009B23F1"/>
    <w:rsid w:val="00AB192A"/>
    <w:rsid w:val="00BB4947"/>
    <w:rsid w:val="00C7573C"/>
    <w:rsid w:val="00CB5390"/>
    <w:rsid w:val="00CC2FA7"/>
    <w:rsid w:val="00D96DF5"/>
    <w:rsid w:val="00E47EBB"/>
    <w:rsid w:val="00E75C64"/>
    <w:rsid w:val="00E80922"/>
    <w:rsid w:val="00EC4424"/>
    <w:rsid w:val="00FA266F"/>
    <w:rsid w:val="00FD3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7E89"/>
  <w15:chartTrackingRefBased/>
  <w15:docId w15:val="{DA4F0C45-4FF6-A140-8C9D-8DE7C944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D7A"/>
    <w:pPr>
      <w:ind w:left="720"/>
      <w:contextualSpacing/>
    </w:pPr>
  </w:style>
  <w:style w:type="paragraph" w:styleId="En-tte">
    <w:name w:val="header"/>
    <w:basedOn w:val="Normal"/>
    <w:link w:val="En-tteCar"/>
    <w:uiPriority w:val="99"/>
    <w:unhideWhenUsed/>
    <w:rsid w:val="000C2B9A"/>
    <w:pPr>
      <w:tabs>
        <w:tab w:val="center" w:pos="4536"/>
        <w:tab w:val="right" w:pos="9072"/>
      </w:tabs>
    </w:pPr>
  </w:style>
  <w:style w:type="character" w:customStyle="1" w:styleId="En-tteCar">
    <w:name w:val="En-tête Car"/>
    <w:basedOn w:val="Policepardfaut"/>
    <w:link w:val="En-tte"/>
    <w:uiPriority w:val="99"/>
    <w:rsid w:val="000C2B9A"/>
  </w:style>
  <w:style w:type="paragraph" w:styleId="Pieddepage">
    <w:name w:val="footer"/>
    <w:basedOn w:val="Normal"/>
    <w:link w:val="PieddepageCar"/>
    <w:uiPriority w:val="99"/>
    <w:unhideWhenUsed/>
    <w:rsid w:val="000C2B9A"/>
    <w:pPr>
      <w:tabs>
        <w:tab w:val="center" w:pos="4536"/>
        <w:tab w:val="right" w:pos="9072"/>
      </w:tabs>
    </w:pPr>
  </w:style>
  <w:style w:type="character" w:customStyle="1" w:styleId="PieddepageCar">
    <w:name w:val="Pied de page Car"/>
    <w:basedOn w:val="Policepardfaut"/>
    <w:link w:val="Pieddepage"/>
    <w:uiPriority w:val="99"/>
    <w:rsid w:val="000C2B9A"/>
  </w:style>
  <w:style w:type="character" w:styleId="Lienhypertexte">
    <w:name w:val="Hyperlink"/>
    <w:basedOn w:val="Policepardfaut"/>
    <w:uiPriority w:val="99"/>
    <w:unhideWhenUsed/>
    <w:rsid w:val="00C7573C"/>
    <w:rPr>
      <w:color w:val="0563C1" w:themeColor="hyperlink"/>
      <w:u w:val="single"/>
    </w:rPr>
  </w:style>
  <w:style w:type="character" w:styleId="Mentionnonrsolue">
    <w:name w:val="Unresolved Mention"/>
    <w:basedOn w:val="Policepardfaut"/>
    <w:uiPriority w:val="99"/>
    <w:semiHidden/>
    <w:unhideWhenUsed/>
    <w:rsid w:val="00C75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Jacques PRIOL</cp:lastModifiedBy>
  <cp:revision>2</cp:revision>
  <dcterms:created xsi:type="dcterms:W3CDTF">2020-11-09T20:34:00Z</dcterms:created>
  <dcterms:modified xsi:type="dcterms:W3CDTF">2020-11-09T20:34:00Z</dcterms:modified>
</cp:coreProperties>
</file>